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bookmarkStart w:id="0" w:name="_GoBack"/>
      <w:bookmarkEnd w:id="0"/>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A94272">
        <w:rPr>
          <w:rFonts w:ascii="Palatino Linotype" w:hAnsi="Palatino Linotype"/>
          <w:b/>
          <w:sz w:val="24"/>
          <w:szCs w:val="24"/>
        </w:rPr>
        <w:t>CUARTA</w:t>
      </w:r>
      <w:r w:rsidR="00DE66E2">
        <w:rPr>
          <w:rFonts w:ascii="Palatino Linotype" w:hAnsi="Palatino Linotype"/>
          <w:b/>
          <w:sz w:val="24"/>
          <w:szCs w:val="24"/>
        </w:rPr>
        <w:t xml:space="preserve"> </w:t>
      </w:r>
      <w:r w:rsidR="000607BA" w:rsidRPr="00642D91">
        <w:rPr>
          <w:rFonts w:ascii="Palatino Linotype" w:hAnsi="Palatino Linotype"/>
          <w:b/>
          <w:sz w:val="24"/>
          <w:szCs w:val="24"/>
        </w:rPr>
        <w:t xml:space="preserve">SESIÓN ORDINARIA DEL </w:t>
      </w:r>
      <w:r w:rsidR="00A94272">
        <w:rPr>
          <w:rFonts w:ascii="Palatino Linotype" w:hAnsi="Palatino Linotype"/>
          <w:b/>
          <w:sz w:val="24"/>
          <w:szCs w:val="24"/>
        </w:rPr>
        <w:t>TREINTA DE ENERO</w:t>
      </w:r>
      <w:r w:rsidR="00004FA2">
        <w:rPr>
          <w:rFonts w:ascii="Palatino Linotype" w:hAnsi="Palatino Linotype"/>
          <w:b/>
          <w:sz w:val="24"/>
          <w:szCs w:val="24"/>
        </w:rPr>
        <w:t xml:space="preserve"> DE DOS MIL DIECI</w:t>
      </w:r>
      <w:r w:rsidR="00A94272">
        <w:rPr>
          <w:rFonts w:ascii="Palatino Linotype" w:hAnsi="Palatino Linotype"/>
          <w:b/>
          <w:sz w:val="24"/>
          <w:szCs w:val="24"/>
        </w:rPr>
        <w:t>NUEVE</w:t>
      </w:r>
      <w:r w:rsidR="00004FA2">
        <w:rPr>
          <w:rFonts w:ascii="Palatino Linotype" w:hAnsi="Palatino Linotype"/>
          <w:b/>
          <w:sz w:val="24"/>
          <w:szCs w:val="24"/>
        </w:rPr>
        <w:t>,</w:t>
      </w:r>
      <w:r w:rsidR="000607BA" w:rsidRPr="00642D91">
        <w:rPr>
          <w:rFonts w:ascii="Palatino Linotype" w:hAnsi="Palatino Linotype"/>
          <w:b/>
          <w:sz w:val="24"/>
          <w:szCs w:val="24"/>
        </w:rPr>
        <w:t xml:space="preserve"> </w:t>
      </w:r>
      <w:r w:rsidR="00F41D72">
        <w:rPr>
          <w:rFonts w:ascii="Palatino Linotype" w:hAnsi="Palatino Linotype"/>
          <w:b/>
          <w:sz w:val="24"/>
          <w:szCs w:val="24"/>
        </w:rPr>
        <w:t xml:space="preserve">EN LO RELATIVO AL </w:t>
      </w:r>
      <w:r w:rsidR="000607BA" w:rsidRPr="00642D91">
        <w:rPr>
          <w:rFonts w:ascii="Palatino Linotype" w:hAnsi="Palatino Linotype"/>
          <w:b/>
          <w:sz w:val="24"/>
          <w:szCs w:val="24"/>
        </w:rPr>
        <w:t>RECURSO DE REVISIÓN 0</w:t>
      </w:r>
      <w:r w:rsidR="00A94272">
        <w:rPr>
          <w:rFonts w:ascii="Palatino Linotype" w:hAnsi="Palatino Linotype"/>
          <w:b/>
          <w:sz w:val="24"/>
          <w:szCs w:val="24"/>
        </w:rPr>
        <w:t>4293</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0607BA" w:rsidRPr="00642D91">
        <w:rPr>
          <w:rFonts w:ascii="Palatino Linotype" w:hAnsi="Palatino Linotype"/>
          <w:b/>
          <w:sz w:val="24"/>
          <w:szCs w:val="24"/>
        </w:rPr>
        <w:t>.</w:t>
      </w: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 xml:space="preserve">México y Municipios, </w:t>
      </w:r>
      <w:r w:rsidR="00DF46A9">
        <w:rPr>
          <w:rFonts w:ascii="Palatino Linotype" w:hAnsi="Palatino Linotype"/>
          <w:sz w:val="24"/>
          <w:szCs w:val="24"/>
        </w:rPr>
        <w:t xml:space="preserve">ordenó </w:t>
      </w:r>
      <w:r w:rsidR="00004FA2">
        <w:rPr>
          <w:rFonts w:ascii="Palatino Linotype" w:hAnsi="Palatino Linotype"/>
          <w:sz w:val="24"/>
          <w:szCs w:val="24"/>
        </w:rPr>
        <w:t>por unanimidad</w:t>
      </w:r>
      <w:r w:rsidR="00DF46A9">
        <w:rPr>
          <w:rFonts w:ascii="Palatino Linotype" w:hAnsi="Palatino Linotype"/>
          <w:sz w:val="24"/>
          <w:szCs w:val="24"/>
        </w:rPr>
        <w:t>,</w:t>
      </w:r>
      <w:r>
        <w:rPr>
          <w:rFonts w:ascii="Palatino Linotype" w:hAnsi="Palatino Linotype"/>
          <w:sz w:val="24"/>
          <w:szCs w:val="24"/>
        </w:rPr>
        <w:t xml:space="preserve"> </w:t>
      </w:r>
      <w:r w:rsidR="00DF46A9">
        <w:rPr>
          <w:rFonts w:ascii="Palatino Linotype" w:hAnsi="Palatino Linotype"/>
          <w:sz w:val="24"/>
          <w:szCs w:val="24"/>
        </w:rPr>
        <w:t>se atienda l</w:t>
      </w:r>
      <w:r w:rsidR="00B7062F">
        <w:rPr>
          <w:rFonts w:ascii="Palatino Linotype" w:hAnsi="Palatino Linotype"/>
          <w:sz w:val="24"/>
          <w:szCs w:val="24"/>
        </w:rPr>
        <w:t>a solicitud</w:t>
      </w:r>
      <w:r w:rsidR="00DF46A9">
        <w:rPr>
          <w:rFonts w:ascii="Palatino Linotype" w:hAnsi="Palatino Linotype"/>
          <w:sz w:val="24"/>
          <w:szCs w:val="24"/>
        </w:rPr>
        <w:t xml:space="preserve"> de información</w:t>
      </w:r>
      <w:r w:rsidR="00B7062F">
        <w:rPr>
          <w:rFonts w:ascii="Palatino Linotype" w:hAnsi="Palatino Linotype"/>
          <w:sz w:val="24"/>
          <w:szCs w:val="24"/>
        </w:rPr>
        <w:t xml:space="preserve"> </w:t>
      </w:r>
      <w:r w:rsidR="00F41D72">
        <w:rPr>
          <w:rFonts w:ascii="Palatino Linotype" w:hAnsi="Palatino Linotype"/>
          <w:sz w:val="24"/>
          <w:szCs w:val="24"/>
        </w:rPr>
        <w:t xml:space="preserve">con número de folio </w:t>
      </w:r>
      <w:r w:rsidR="00DF46A9">
        <w:rPr>
          <w:rFonts w:ascii="Palatino Linotype" w:hAnsi="Palatino Linotype"/>
        </w:rPr>
        <w:t>00029/RAYON</w:t>
      </w:r>
      <w:r w:rsidR="00DE66E2" w:rsidRPr="00DE66E2">
        <w:rPr>
          <w:rFonts w:ascii="Palatino Linotype" w:hAnsi="Palatino Linotype"/>
        </w:rPr>
        <w:t>/IP/2018</w:t>
      </w:r>
      <w:r w:rsidR="00DF46A9">
        <w:rPr>
          <w:rFonts w:ascii="Palatino Linotype" w:hAnsi="Palatino Linotype"/>
        </w:rPr>
        <w:t>,</w:t>
      </w:r>
      <w:r w:rsidR="00DE66E2" w:rsidRPr="00DE66E2">
        <w:rPr>
          <w:rFonts w:ascii="Palatino Linotype" w:hAnsi="Palatino Linotype"/>
        </w:rPr>
        <w:t xml:space="preserve"> </w:t>
      </w:r>
      <w:r w:rsidR="00DF46A9">
        <w:rPr>
          <w:rFonts w:ascii="Palatino Linotype" w:hAnsi="Palatino Linotype"/>
        </w:rPr>
        <w:t>materia del recurso de revisión</w:t>
      </w:r>
      <w:r w:rsidR="00B7062F">
        <w:rPr>
          <w:rFonts w:ascii="Palatino Linotype" w:hAnsi="Palatino Linotype"/>
          <w:sz w:val="24"/>
          <w:szCs w:val="24"/>
        </w:rPr>
        <w:t xml:space="preserve">, </w:t>
      </w:r>
      <w:r w:rsidR="00DF46A9">
        <w:rPr>
          <w:rFonts w:ascii="Palatino Linotype" w:hAnsi="Palatino Linotype"/>
          <w:sz w:val="24"/>
          <w:szCs w:val="24"/>
        </w:rPr>
        <w:t xml:space="preserve">a fin de atender lo referente a las causas de regreso al Ayuntamiento de </w:t>
      </w:r>
      <w:r w:rsidR="00DF46A9">
        <w:rPr>
          <w:rFonts w:ascii="Palatino Linotype" w:hAnsi="Palatino Linotype"/>
          <w:b/>
          <w:sz w:val="24"/>
          <w:szCs w:val="24"/>
        </w:rPr>
        <w:t xml:space="preserve">Monica Mercedes Nava </w:t>
      </w:r>
      <w:r w:rsidR="00DF46A9">
        <w:rPr>
          <w:rFonts w:ascii="Palatino Linotype" w:hAnsi="Palatino Linotype"/>
          <w:sz w:val="24"/>
          <w:szCs w:val="24"/>
        </w:rPr>
        <w:t>y el registro de nómina de dicha persona en la administración en turno</w:t>
      </w:r>
      <w:r w:rsidR="00182911">
        <w:rPr>
          <w:rFonts w:ascii="Palatino Linotype" w:eastAsia="Times New Roman" w:hAnsi="Palatino Linotype" w:cs="Times New Roman"/>
          <w:sz w:val="24"/>
          <w:szCs w:val="24"/>
          <w:lang w:val="es-ES"/>
        </w:rPr>
        <w:t>.</w:t>
      </w:r>
      <w:r w:rsidR="00AF3B1C" w:rsidRPr="00AF3B1C">
        <w:rPr>
          <w:rFonts w:ascii="Palatino Linotype" w:hAnsi="Palatino Linotype"/>
          <w:sz w:val="24"/>
          <w:szCs w:val="24"/>
        </w:rPr>
        <w:t xml:space="preserve"> </w:t>
      </w:r>
    </w:p>
    <w:p w:rsidR="00603AD2" w:rsidRPr="00556F7C" w:rsidRDefault="0033639B" w:rsidP="00A90414">
      <w:pPr>
        <w:spacing w:before="240" w:after="240" w:line="360" w:lineRule="auto"/>
        <w:jc w:val="both"/>
        <w:rPr>
          <w:rFonts w:ascii="Palatino Linotype" w:hAnsi="Palatino Linotype"/>
          <w:sz w:val="24"/>
          <w:szCs w:val="24"/>
        </w:rPr>
      </w:pPr>
      <w:r w:rsidRPr="00556F7C">
        <w:rPr>
          <w:rFonts w:ascii="Palatino Linotype" w:hAnsi="Palatino Linotype"/>
          <w:sz w:val="24"/>
          <w:szCs w:val="24"/>
        </w:rPr>
        <w:t>E</w:t>
      </w:r>
      <w:r w:rsidR="00603AD2" w:rsidRPr="00556F7C">
        <w:rPr>
          <w:rFonts w:ascii="Palatino Linotype" w:hAnsi="Palatino Linotype"/>
          <w:sz w:val="24"/>
          <w:szCs w:val="24"/>
        </w:rPr>
        <w:t>n razón, a que e</w:t>
      </w:r>
      <w:r w:rsidRPr="00556F7C">
        <w:rPr>
          <w:rFonts w:ascii="Palatino Linotype" w:hAnsi="Palatino Linotype"/>
          <w:sz w:val="24"/>
          <w:szCs w:val="24"/>
        </w:rPr>
        <w:t xml:space="preserve">l </w:t>
      </w:r>
      <w:r w:rsidR="00B7062F" w:rsidRPr="00556F7C">
        <w:rPr>
          <w:rFonts w:ascii="Palatino Linotype" w:hAnsi="Palatino Linotype"/>
          <w:sz w:val="24"/>
          <w:szCs w:val="24"/>
        </w:rPr>
        <w:t>Sujeto Obligado</w:t>
      </w:r>
      <w:r w:rsidR="00603AD2" w:rsidRPr="00556F7C">
        <w:rPr>
          <w:rFonts w:ascii="Palatino Linotype" w:hAnsi="Palatino Linotype"/>
          <w:sz w:val="24"/>
          <w:szCs w:val="24"/>
        </w:rPr>
        <w:t xml:space="preserve"> fue omiso en otorgar una respuesta en el plazo concedido para cumplir con ello de conformidad al artículo 163 de la Ley de Transparencia y Acceso a la Información Pública del Estado de México y Municipios.</w:t>
      </w:r>
    </w:p>
    <w:p w:rsidR="00603AD2" w:rsidRPr="00556F7C" w:rsidRDefault="00603AD2" w:rsidP="00603AD2">
      <w:pPr>
        <w:spacing w:before="240" w:after="240" w:line="360" w:lineRule="auto"/>
        <w:jc w:val="both"/>
        <w:rPr>
          <w:rFonts w:ascii="Palatino Linotype" w:hAnsi="Palatino Linotype"/>
          <w:sz w:val="24"/>
          <w:szCs w:val="24"/>
        </w:rPr>
      </w:pPr>
      <w:r w:rsidRPr="00556F7C">
        <w:rPr>
          <w:rFonts w:ascii="Palatino Linotype" w:hAnsi="Palatino Linotype"/>
          <w:sz w:val="24"/>
          <w:szCs w:val="24"/>
        </w:rPr>
        <w:t xml:space="preserve">Sin embargo, no comparto la forma en que fue resuelto el recurso de revisión materia de la emisión del presente voto particular, toda vez que el Comisionado Ponente en la resolución presentada ante el Pleno de este Instituto, se limitó a referir –en resumen- que la omisión de dar respuesta por parte del Sujeto Obligado constituye </w:t>
      </w:r>
      <w:r w:rsidRPr="00556F7C">
        <w:rPr>
          <w:rFonts w:ascii="Palatino Linotype" w:hAnsi="Palatino Linotype"/>
          <w:sz w:val="24"/>
          <w:szCs w:val="24"/>
        </w:rPr>
        <w:lastRenderedPageBreak/>
        <w:t>una vulneración al derecho de acceso a la información pública, el cual está constreñido a promover, respetar, proteger y más aún a garantizar de conformidad con la propia Constitución Política del Estados Unidos Mexicanos, empero, también argumentó que para dar cumplimiento a la resolución el Sujeto Obligado debía atender la solicitud de información sin que fuera necesario para este Órgano Garante analizar o prejuzgar si la información que le fue solicitada obra en los archivos del Sujeto Obligado, dejándole el deber a éste de sustanciar todo el procedimiento de acceso a la información pública verificando si la información que se le requirió corresponde al ejercicio de sus facultades, competencias o funciones; luego, si la información se encuentra en dicho supuesto y es localizada en sus archivos valorar si procede su entrega en su totalidad, en versión pública o debe restringirse el acceso por tratarse de información clasificada y para el caso de no se localice valorar la emisión de una declaración formal de inexistencia los supuestos en que ello debe ocurrir.</w:t>
      </w:r>
    </w:p>
    <w:p w:rsidR="00603AD2" w:rsidRPr="00603AD2" w:rsidRDefault="00603AD2" w:rsidP="00603AD2">
      <w:pPr>
        <w:spacing w:before="240" w:after="240" w:line="360" w:lineRule="auto"/>
        <w:jc w:val="both"/>
        <w:rPr>
          <w:rFonts w:ascii="Palatino Linotype" w:hAnsi="Palatino Linotype"/>
          <w:sz w:val="24"/>
          <w:szCs w:val="24"/>
        </w:rPr>
      </w:pPr>
      <w:r w:rsidRPr="00603AD2">
        <w:rPr>
          <w:rFonts w:ascii="Palatino Linotype" w:hAnsi="Palatino Linotype"/>
          <w:sz w:val="24"/>
          <w:szCs w:val="24"/>
        </w:rPr>
        <w:t>Finalmente se señala que el cumplimiento a la resolución será susceptible de ser impugnado de nueva cuenta mediante recurso de revisión, por tener como origen la falta de respuesta a la solicitud de acceso a la información.</w:t>
      </w:r>
    </w:p>
    <w:p w:rsidR="00603AD2" w:rsidRPr="00603AD2" w:rsidRDefault="00603AD2" w:rsidP="00603AD2">
      <w:pPr>
        <w:spacing w:before="240" w:after="240" w:line="360" w:lineRule="auto"/>
        <w:jc w:val="both"/>
        <w:rPr>
          <w:rFonts w:ascii="Palatino Linotype" w:hAnsi="Palatino Linotype"/>
          <w:sz w:val="24"/>
          <w:szCs w:val="24"/>
        </w:rPr>
      </w:pPr>
      <w:r w:rsidRPr="00603AD2">
        <w:rPr>
          <w:rFonts w:ascii="Palatino Linotype" w:hAnsi="Palatino Linotype"/>
          <w:sz w:val="24"/>
          <w:szCs w:val="24"/>
        </w:rPr>
        <w:t xml:space="preserve">De tal manera que en los resolutivos, únicamente se determina ordenar la atención a la solicitud de acceso a la información de la recurrente y </w:t>
      </w:r>
      <w:r w:rsidRPr="00603AD2">
        <w:rPr>
          <w:rFonts w:ascii="Palatino Linotype" w:hAnsi="Palatino Linotype"/>
          <w:i/>
          <w:sz w:val="24"/>
          <w:szCs w:val="24"/>
        </w:rPr>
        <w:t>en su caso</w:t>
      </w:r>
      <w:r w:rsidRPr="00603AD2">
        <w:rPr>
          <w:rFonts w:ascii="Palatino Linotype" w:hAnsi="Palatino Linotype"/>
          <w:sz w:val="24"/>
          <w:szCs w:val="24"/>
        </w:rPr>
        <w:t xml:space="preserve"> entregar la información.</w:t>
      </w:r>
    </w:p>
    <w:p w:rsidR="00603AD2" w:rsidRPr="00603AD2" w:rsidRDefault="00603AD2" w:rsidP="00603AD2">
      <w:pPr>
        <w:spacing w:before="240" w:after="240" w:line="360" w:lineRule="auto"/>
        <w:jc w:val="both"/>
        <w:rPr>
          <w:rFonts w:ascii="Palatino Linotype" w:hAnsi="Palatino Linotype"/>
          <w:sz w:val="24"/>
          <w:szCs w:val="24"/>
        </w:rPr>
      </w:pPr>
      <w:r w:rsidRPr="00603AD2">
        <w:rPr>
          <w:rFonts w:ascii="Palatino Linotype" w:hAnsi="Palatino Linotype"/>
          <w:sz w:val="24"/>
          <w:szCs w:val="24"/>
        </w:rPr>
        <w:lastRenderedPageBreak/>
        <w:t xml:space="preserve">En otras palabras, en la resolución motivo del presente voto no se analiza si el Sujeto Obligado genera, posee o administra la información que le fue requerida en razón del ejercicio de las distintas facultades, competencias y funciones que los ordenamientos jurídicos le confieren; y por ende mucho menos se analiza la procedencia de la entrega de la información, por considerar que la </w:t>
      </w:r>
      <w:r w:rsidRPr="00603AD2">
        <w:rPr>
          <w:rFonts w:ascii="Palatino Linotype" w:hAnsi="Palatino Linotype"/>
          <w:i/>
          <w:sz w:val="24"/>
          <w:szCs w:val="24"/>
        </w:rPr>
        <w:t>litis</w:t>
      </w:r>
      <w:r w:rsidRPr="00603AD2">
        <w:rPr>
          <w:rFonts w:ascii="Palatino Linotype" w:hAnsi="Palatino Linotype"/>
          <w:sz w:val="24"/>
          <w:szCs w:val="24"/>
        </w:rPr>
        <w:t xml:space="preserve"> </w:t>
      </w:r>
      <w:r w:rsidR="009D6E78">
        <w:rPr>
          <w:rFonts w:ascii="Palatino Linotype" w:hAnsi="Palatino Linotype"/>
          <w:sz w:val="24"/>
          <w:szCs w:val="24"/>
        </w:rPr>
        <w:t xml:space="preserve">versa sobre la </w:t>
      </w:r>
      <w:r w:rsidRPr="00603AD2">
        <w:rPr>
          <w:rFonts w:ascii="Palatino Linotype" w:hAnsi="Palatino Linotype"/>
          <w:sz w:val="24"/>
          <w:szCs w:val="24"/>
        </w:rPr>
        <w:t>falta de respuesta</w:t>
      </w:r>
      <w:r w:rsidR="009D6E78">
        <w:rPr>
          <w:rFonts w:ascii="Palatino Linotype" w:hAnsi="Palatino Linotype"/>
          <w:sz w:val="24"/>
          <w:szCs w:val="24"/>
        </w:rPr>
        <w:t xml:space="preserve"> y no así sobre la información solicitada</w:t>
      </w:r>
      <w:r w:rsidRPr="00603AD2">
        <w:rPr>
          <w:rFonts w:ascii="Palatino Linotype" w:hAnsi="Palatino Linotype"/>
          <w:sz w:val="24"/>
          <w:szCs w:val="24"/>
        </w:rPr>
        <w:t xml:space="preserve">, </w:t>
      </w:r>
      <w:r w:rsidR="009D6E78">
        <w:rPr>
          <w:rFonts w:ascii="Palatino Linotype" w:hAnsi="Palatino Linotype"/>
          <w:sz w:val="24"/>
          <w:szCs w:val="24"/>
        </w:rPr>
        <w:t xml:space="preserve">en consecuencia </w:t>
      </w:r>
      <w:r w:rsidRPr="00603AD2">
        <w:rPr>
          <w:rFonts w:ascii="Palatino Linotype" w:hAnsi="Palatino Linotype"/>
          <w:sz w:val="24"/>
          <w:szCs w:val="24"/>
        </w:rPr>
        <w:t>corres</w:t>
      </w:r>
      <w:r w:rsidR="009D6E78">
        <w:rPr>
          <w:rFonts w:ascii="Palatino Linotype" w:hAnsi="Palatino Linotype"/>
          <w:sz w:val="24"/>
          <w:szCs w:val="24"/>
        </w:rPr>
        <w:t>ponde al Sujeto Obligado determinar si puede</w:t>
      </w:r>
      <w:r w:rsidRPr="00603AD2">
        <w:rPr>
          <w:rFonts w:ascii="Palatino Linotype" w:hAnsi="Palatino Linotype"/>
          <w:sz w:val="24"/>
          <w:szCs w:val="24"/>
        </w:rPr>
        <w:t xml:space="preserve"> atender la solicitud de acceso a la información que le fue formulada.</w:t>
      </w:r>
    </w:p>
    <w:p w:rsidR="00603AD2" w:rsidRPr="00603AD2" w:rsidRDefault="009D6E78" w:rsidP="00603AD2">
      <w:pPr>
        <w:spacing w:before="240" w:after="240" w:line="360" w:lineRule="auto"/>
        <w:jc w:val="both"/>
        <w:rPr>
          <w:rFonts w:ascii="Palatino Linotype" w:hAnsi="Palatino Linotype"/>
          <w:sz w:val="24"/>
          <w:szCs w:val="24"/>
        </w:rPr>
      </w:pPr>
      <w:r>
        <w:rPr>
          <w:rFonts w:ascii="Palatino Linotype" w:hAnsi="Palatino Linotype"/>
          <w:sz w:val="24"/>
          <w:szCs w:val="24"/>
        </w:rPr>
        <w:t>Contexto, que es la</w:t>
      </w:r>
      <w:r w:rsidR="00603AD2" w:rsidRPr="00603AD2">
        <w:rPr>
          <w:rFonts w:ascii="Palatino Linotype" w:hAnsi="Palatino Linotype"/>
          <w:sz w:val="24"/>
          <w:szCs w:val="24"/>
        </w:rPr>
        <w:t xml:space="preserve"> razón </w:t>
      </w:r>
      <w:r>
        <w:rPr>
          <w:rFonts w:ascii="Palatino Linotype" w:hAnsi="Palatino Linotype"/>
          <w:sz w:val="24"/>
          <w:szCs w:val="24"/>
        </w:rPr>
        <w:t>para emitir el</w:t>
      </w:r>
      <w:r w:rsidR="00603AD2" w:rsidRPr="00603AD2">
        <w:rPr>
          <w:rFonts w:ascii="Palatino Linotype" w:hAnsi="Palatino Linotype"/>
          <w:sz w:val="24"/>
          <w:szCs w:val="24"/>
        </w:rPr>
        <w:t xml:space="preserve"> presente voto, pues si bien comparto el deber para el Sujeto Obligado de dar atención a las solicitudes de información, lo cual es incuestionable, lo cierto es que considero que la labor para este Órgano Garante no puede limitarse a ordenarle al Sujeto Obligado la realización de lo que no hizo en un principio, ello por las consideraciones que a continuación explico.</w:t>
      </w:r>
    </w:p>
    <w:p w:rsidR="00603AD2" w:rsidRPr="00603AD2" w:rsidRDefault="00603AD2" w:rsidP="00603AD2">
      <w:pPr>
        <w:spacing w:before="240" w:after="240" w:line="360" w:lineRule="auto"/>
        <w:jc w:val="both"/>
        <w:rPr>
          <w:rFonts w:ascii="Palatino Linotype" w:hAnsi="Palatino Linotype"/>
          <w:sz w:val="24"/>
          <w:szCs w:val="24"/>
        </w:rPr>
      </w:pPr>
      <w:r w:rsidRPr="00603AD2">
        <w:rPr>
          <w:rFonts w:ascii="Palatino Linotype" w:hAnsi="Palatino Linotype"/>
          <w:sz w:val="24"/>
          <w:szCs w:val="24"/>
        </w:rPr>
        <w:t>En un primer momento 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603AD2" w:rsidRPr="00C2172B" w:rsidRDefault="00603AD2" w:rsidP="00603AD2">
      <w:pPr>
        <w:spacing w:before="240" w:after="240" w:line="360" w:lineRule="auto"/>
        <w:jc w:val="both"/>
        <w:rPr>
          <w:rFonts w:ascii="Palatino Linotype" w:hAnsi="Palatino Linotype"/>
        </w:rPr>
      </w:pPr>
    </w:p>
    <w:p w:rsidR="00603AD2" w:rsidRPr="009D6E78" w:rsidRDefault="00603AD2" w:rsidP="009D6E78">
      <w:pPr>
        <w:spacing w:after="120" w:line="240" w:lineRule="auto"/>
        <w:ind w:left="851" w:right="902"/>
        <w:jc w:val="both"/>
        <w:rPr>
          <w:rFonts w:ascii="Palatino Linotype" w:hAnsi="Palatino Linotype"/>
          <w:i/>
          <w:sz w:val="20"/>
          <w:szCs w:val="20"/>
        </w:rPr>
      </w:pPr>
      <w:r w:rsidRPr="009D6E78">
        <w:rPr>
          <w:rFonts w:ascii="Palatino Linotype" w:hAnsi="Palatino Linotype"/>
          <w:i/>
          <w:sz w:val="20"/>
          <w:szCs w:val="20"/>
        </w:rPr>
        <w:t>“</w:t>
      </w:r>
      <w:r w:rsidRPr="009D6E78">
        <w:rPr>
          <w:rFonts w:ascii="Palatino Linotype" w:hAnsi="Palatino Linotype"/>
          <w:b/>
          <w:i/>
          <w:sz w:val="20"/>
          <w:szCs w:val="20"/>
        </w:rPr>
        <w:t>Artículo 21.</w:t>
      </w:r>
      <w:r w:rsidRPr="009D6E78">
        <w:rPr>
          <w:rFonts w:ascii="Palatino Linotype" w:hAnsi="Palatino Linotype"/>
          <w:i/>
          <w:sz w:val="20"/>
          <w:szCs w:val="20"/>
        </w:rPr>
        <w:t xml:space="preserve"> Todo procedimiento en materia de derecho de acceso a la información deberá sustanciarse de manera sencilla y expedita, de conformidad con las bases de esta Ley. </w:t>
      </w:r>
    </w:p>
    <w:p w:rsidR="00603AD2" w:rsidRPr="009D6E78" w:rsidRDefault="00603AD2" w:rsidP="009D6E78">
      <w:pPr>
        <w:spacing w:after="120" w:line="240" w:lineRule="auto"/>
        <w:ind w:left="851" w:right="902"/>
        <w:jc w:val="both"/>
        <w:rPr>
          <w:rFonts w:ascii="Palatino Linotype" w:hAnsi="Palatino Linotype"/>
          <w:i/>
          <w:sz w:val="20"/>
          <w:szCs w:val="20"/>
        </w:rPr>
      </w:pPr>
      <w:r w:rsidRPr="009D6E78">
        <w:rPr>
          <w:rFonts w:ascii="Palatino Linotype" w:hAnsi="Palatino Linotype"/>
          <w:b/>
          <w:i/>
          <w:sz w:val="20"/>
          <w:szCs w:val="20"/>
        </w:rPr>
        <w:t>Artículo 22.</w:t>
      </w:r>
      <w:r w:rsidRPr="009D6E78">
        <w:rPr>
          <w:rFonts w:ascii="Palatino Linotype" w:hAnsi="Palatino Linotype"/>
          <w:i/>
          <w:sz w:val="20"/>
          <w:szCs w:val="20"/>
        </w:rPr>
        <w:t xml:space="preserve">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 xml:space="preserve">Ahora bien, como se refirió en la resolución que se comenta, este Instituto de Transparencia, es el Órgano </w:t>
      </w:r>
      <w:r w:rsidR="009D6E78" w:rsidRPr="009D6E78">
        <w:rPr>
          <w:rFonts w:ascii="Palatino Linotype" w:hAnsi="Palatino Linotype"/>
          <w:sz w:val="24"/>
          <w:szCs w:val="24"/>
        </w:rPr>
        <w:t>P</w:t>
      </w:r>
      <w:r w:rsidRPr="009D6E78">
        <w:rPr>
          <w:rFonts w:ascii="Palatino Linotype" w:hAnsi="Palatino Linotype"/>
          <w:sz w:val="24"/>
          <w:szCs w:val="24"/>
        </w:rPr>
        <w:t>úblico estatal constitucionalmente autónomo, especializado, independiente, imparcial y colegiado, responsable de garantizar tanto el derecho de acceso a la información pública y la protección de datos personales en posesión de los sujetos obligados.</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 xml:space="preserve">En tal tesitura, si nos remitimos al significado de </w:t>
      </w:r>
      <w:r w:rsidRPr="009D6E78">
        <w:rPr>
          <w:rFonts w:ascii="Palatino Linotype" w:hAnsi="Palatino Linotype"/>
          <w:i/>
          <w:sz w:val="24"/>
          <w:szCs w:val="24"/>
        </w:rPr>
        <w:t>garantizar</w:t>
      </w:r>
      <w:r w:rsidRPr="009D6E78">
        <w:rPr>
          <w:rFonts w:ascii="Palatino Linotype" w:hAnsi="Palatino Linotype"/>
          <w:sz w:val="24"/>
          <w:szCs w:val="24"/>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Obligado su deber de atender la solicitud de acceso a la información, explicándole el proceso que debe seguir para ello o las cuestiones que debe prever, no está asegurando ni dando certeza de la atención al derecho del particular.</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 xml:space="preserve">Pues la Ley de Transparencia, ya es lo suficientemente clara señalando el procedimiento de acceso a la información pública, en su Título Séptimo, </w:t>
      </w:r>
      <w:r w:rsidRPr="009D6E78">
        <w:rPr>
          <w:rFonts w:ascii="Palatino Linotype" w:hAnsi="Palatino Linotype"/>
          <w:i/>
          <w:sz w:val="24"/>
          <w:szCs w:val="24"/>
        </w:rPr>
        <w:t xml:space="preserve">Acceso a la Información Pública, </w:t>
      </w:r>
      <w:r w:rsidRPr="009D6E78">
        <w:rPr>
          <w:rFonts w:ascii="Palatino Linotype" w:hAnsi="Palatino Linotype"/>
          <w:sz w:val="24"/>
          <w:szCs w:val="24"/>
        </w:rPr>
        <w:t xml:space="preserve">Capítulo I, </w:t>
      </w:r>
      <w:r w:rsidRPr="009D6E78">
        <w:rPr>
          <w:rFonts w:ascii="Palatino Linotype" w:hAnsi="Palatino Linotype"/>
          <w:i/>
          <w:sz w:val="24"/>
          <w:szCs w:val="24"/>
        </w:rPr>
        <w:t>Del Procedimiento de Acceso a la Información Pública,</w:t>
      </w:r>
      <w:r w:rsidRPr="009D6E78">
        <w:rPr>
          <w:rFonts w:ascii="Palatino Linotype" w:hAnsi="Palatino Linotype"/>
          <w:sz w:val="24"/>
          <w:szCs w:val="24"/>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 xml:space="preserve">En otras palabras una resolución no puede ser solamente el medio donde se explique de manera extensa lo dictado por la ley, sino debe ser el medio en el que se juzgue el actuar del Sujeto Obligado, pero que sin que se traduzca en una simple opinión, sino en un medio que asegure la atención del derecho. </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una resolución no es una explicación sino una decisión del órgano juzgador con facultad para ello.</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Además de que analizar, la naturaleza de la información y la procedencia de su entrega, coadyuvaría a cumplir con observar los principios de sencillez y expedites que la Ley obliga a tomar en consideración en el proceso de acceso a la información, pues de lo contrario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vería la atención a su derecho, cuando ello puede mejorarse, explicando la incompetencia del Sujeto Obligado, u ordenando la entrega de la información o del acuerdo que fundamente la restricción.</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603AD2" w:rsidRPr="009D6E78" w:rsidRDefault="00603AD2" w:rsidP="00603AD2">
      <w:pPr>
        <w:spacing w:before="240" w:after="240" w:line="360" w:lineRule="auto"/>
        <w:jc w:val="both"/>
        <w:rPr>
          <w:rFonts w:ascii="Palatino Linotype" w:hAnsi="Palatino Linotype"/>
          <w:sz w:val="24"/>
          <w:szCs w:val="24"/>
        </w:rPr>
      </w:pPr>
      <w:r w:rsidRPr="009D6E78">
        <w:rPr>
          <w:rFonts w:ascii="Palatino Linotype" w:hAnsi="Palatino Linotype"/>
          <w:sz w:val="24"/>
          <w:szCs w:val="24"/>
        </w:rPr>
        <w:t>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la información ya está expresamente ordenado por la Ley; incluso lo mismo ocurre, cuando se localiza precepto normativo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 por defecto en el actuar del Sujeto Obligado de que se trate, ello debe asegurarse en la garantía secundaria (el recurso de revisión) correspondiéndole al Órgano Garante.</w:t>
      </w:r>
    </w:p>
    <w:p w:rsidR="009D6E78" w:rsidRPr="00C2172B" w:rsidRDefault="00462F9C" w:rsidP="009D6E78">
      <w:pPr>
        <w:spacing w:before="240" w:after="240" w:line="360" w:lineRule="auto"/>
        <w:jc w:val="both"/>
        <w:rPr>
          <w:rFonts w:ascii="Palatino Linotype" w:hAnsi="Palatino Linotype"/>
        </w:rPr>
      </w:pPr>
      <w:r>
        <w:rPr>
          <w:rFonts w:ascii="Palatino Linotype" w:hAnsi="Palatino Linotype"/>
          <w:sz w:val="24"/>
          <w:szCs w:val="24"/>
        </w:rPr>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 xml:space="preserve">que </w:t>
      </w:r>
      <w:r w:rsidR="009D6E78" w:rsidRPr="00C2172B">
        <w:rPr>
          <w:rFonts w:ascii="Palatino Linotype" w:hAnsi="Palatino Linotype"/>
        </w:rPr>
        <w:t xml:space="preserve">la resolución </w:t>
      </w:r>
      <w:r w:rsidR="009D6E78">
        <w:rPr>
          <w:rFonts w:ascii="Palatino Linotype" w:hAnsi="Palatino Linotype"/>
        </w:rPr>
        <w:t>no se debió limitar a</w:t>
      </w:r>
      <w:r w:rsidR="009D6E78" w:rsidRPr="00C2172B">
        <w:rPr>
          <w:rFonts w:ascii="Palatino Linotype" w:hAnsi="Palatino Linotype"/>
        </w:rPr>
        <w:t xml:space="preserve"> ordenar la atención a la solicitud de información y en su caso la entrega de la información</w:t>
      </w:r>
      <w:r w:rsidR="009D6E78">
        <w:rPr>
          <w:rFonts w:ascii="Palatino Linotype" w:hAnsi="Palatino Linotype"/>
        </w:rPr>
        <w:t>.</w:t>
      </w:r>
    </w:p>
    <w:p w:rsidR="00462F9C" w:rsidRDefault="00462F9C" w:rsidP="001E28B6">
      <w:pPr>
        <w:spacing w:before="240" w:after="24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441531" w:rsidRDefault="00441531" w:rsidP="00462F9C">
            <w:pPr>
              <w:spacing w:line="240" w:lineRule="auto"/>
              <w:jc w:val="center"/>
              <w:rPr>
                <w:rFonts w:ascii="Palatino Linotype" w:hAnsi="Palatino Linotype"/>
                <w:b/>
                <w:sz w:val="28"/>
                <w:szCs w:val="28"/>
              </w:rPr>
            </w:pPr>
          </w:p>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441531">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E9B" w:rsidRDefault="007A2E9B" w:rsidP="00907451">
      <w:pPr>
        <w:spacing w:after="0" w:line="240" w:lineRule="auto"/>
      </w:pPr>
      <w:r>
        <w:separator/>
      </w:r>
    </w:p>
  </w:endnote>
  <w:endnote w:type="continuationSeparator" w:id="0">
    <w:p w:rsidR="007A2E9B" w:rsidRDefault="007A2E9B"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60705">
      <w:rPr>
        <w:rFonts w:ascii="Arial" w:hAnsi="Arial" w:cs="Arial"/>
        <w:b/>
        <w:bCs/>
        <w:noProof/>
        <w:sz w:val="20"/>
        <w:szCs w:val="20"/>
      </w:rPr>
      <w:t>7</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60705">
      <w:rPr>
        <w:rFonts w:ascii="Arial" w:hAnsi="Arial" w:cs="Arial"/>
        <w:b/>
        <w:bCs/>
        <w:noProof/>
        <w:sz w:val="20"/>
        <w:szCs w:val="20"/>
      </w:rPr>
      <w:t>7</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E9B" w:rsidRDefault="007A2E9B" w:rsidP="00907451">
      <w:pPr>
        <w:spacing w:after="0" w:line="240" w:lineRule="auto"/>
      </w:pPr>
      <w:r>
        <w:separator/>
      </w:r>
    </w:p>
  </w:footnote>
  <w:footnote w:type="continuationSeparator" w:id="0">
    <w:p w:rsidR="007A2E9B" w:rsidRDefault="007A2E9B"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7607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A94272">
      <w:rPr>
        <w:rFonts w:ascii="Palatino Linotype" w:hAnsi="Palatino Linotype" w:cs="Arial"/>
        <w:b/>
        <w:sz w:val="20"/>
        <w:szCs w:val="20"/>
      </w:rPr>
      <w:t>4293</w:t>
    </w:r>
    <w:r w:rsidRPr="00897E24">
      <w:rPr>
        <w:rFonts w:ascii="Palatino Linotype" w:hAnsi="Palatino Linotype" w:cs="Arial"/>
        <w:b/>
        <w:sz w:val="20"/>
        <w:szCs w:val="20"/>
      </w:rPr>
      <w:t>/INFOEM/IP/RR/201</w:t>
    </w:r>
    <w:r>
      <w:rPr>
        <w:rFonts w:ascii="Palatino Linotype" w:hAnsi="Palatino Linotype" w:cs="Arial"/>
        <w:b/>
        <w:sz w:val="20"/>
        <w:szCs w:val="20"/>
      </w:rPr>
      <w:t>8</w:t>
    </w:r>
  </w:p>
  <w:p w:rsidR="005D2567" w:rsidRDefault="005D2567" w:rsidP="005D2567">
    <w:pPr>
      <w:pStyle w:val="Encabezado"/>
      <w:jc w:val="right"/>
      <w:rPr>
        <w:rFonts w:ascii="Palatino Linotype" w:hAnsi="Palatino Linotype" w:cs="Arial"/>
        <w:sz w:val="20"/>
        <w:szCs w:val="20"/>
      </w:rPr>
    </w:pPr>
  </w:p>
  <w:p w:rsidR="005D2567" w:rsidRDefault="00760705"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76070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57496"/>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1531"/>
    <w:rsid w:val="00444F00"/>
    <w:rsid w:val="00456467"/>
    <w:rsid w:val="00462F9C"/>
    <w:rsid w:val="00476506"/>
    <w:rsid w:val="004C1B9A"/>
    <w:rsid w:val="004E4151"/>
    <w:rsid w:val="004F7D00"/>
    <w:rsid w:val="00505F5A"/>
    <w:rsid w:val="005169BD"/>
    <w:rsid w:val="005439FF"/>
    <w:rsid w:val="005507BF"/>
    <w:rsid w:val="00550D79"/>
    <w:rsid w:val="00553E6C"/>
    <w:rsid w:val="005549ED"/>
    <w:rsid w:val="00556F7C"/>
    <w:rsid w:val="005714BE"/>
    <w:rsid w:val="005777C1"/>
    <w:rsid w:val="0058452B"/>
    <w:rsid w:val="005C239D"/>
    <w:rsid w:val="005D066B"/>
    <w:rsid w:val="005D2567"/>
    <w:rsid w:val="005D5C76"/>
    <w:rsid w:val="005F4C0C"/>
    <w:rsid w:val="00603AD2"/>
    <w:rsid w:val="006214D7"/>
    <w:rsid w:val="00631FBA"/>
    <w:rsid w:val="006349B7"/>
    <w:rsid w:val="00642D91"/>
    <w:rsid w:val="006551EF"/>
    <w:rsid w:val="00662E36"/>
    <w:rsid w:val="00680DD7"/>
    <w:rsid w:val="00681D5D"/>
    <w:rsid w:val="00682AEC"/>
    <w:rsid w:val="00687DFB"/>
    <w:rsid w:val="00692744"/>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60705"/>
    <w:rsid w:val="007801E6"/>
    <w:rsid w:val="007917A5"/>
    <w:rsid w:val="007A2E9B"/>
    <w:rsid w:val="007B6EE5"/>
    <w:rsid w:val="007C6C71"/>
    <w:rsid w:val="007F0FEE"/>
    <w:rsid w:val="00817AA2"/>
    <w:rsid w:val="00825DEC"/>
    <w:rsid w:val="00852138"/>
    <w:rsid w:val="00854B80"/>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D6E78"/>
    <w:rsid w:val="009E03DD"/>
    <w:rsid w:val="00A01E1E"/>
    <w:rsid w:val="00A10507"/>
    <w:rsid w:val="00A1161D"/>
    <w:rsid w:val="00A21005"/>
    <w:rsid w:val="00A3116B"/>
    <w:rsid w:val="00A44ECA"/>
    <w:rsid w:val="00A90414"/>
    <w:rsid w:val="00A94272"/>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2CBA"/>
    <w:rsid w:val="00B9495F"/>
    <w:rsid w:val="00B95ED4"/>
    <w:rsid w:val="00BA3598"/>
    <w:rsid w:val="00BB72CD"/>
    <w:rsid w:val="00BC6E9D"/>
    <w:rsid w:val="00BE6B5D"/>
    <w:rsid w:val="00C01028"/>
    <w:rsid w:val="00C31223"/>
    <w:rsid w:val="00C3452B"/>
    <w:rsid w:val="00C44E15"/>
    <w:rsid w:val="00C469D8"/>
    <w:rsid w:val="00C47969"/>
    <w:rsid w:val="00C56965"/>
    <w:rsid w:val="00C6145E"/>
    <w:rsid w:val="00C73967"/>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DE3DC0"/>
    <w:rsid w:val="00DE66E2"/>
    <w:rsid w:val="00DF46A9"/>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11F36"/>
    <w:rsid w:val="00F206F1"/>
    <w:rsid w:val="00F26BA7"/>
    <w:rsid w:val="00F33C81"/>
    <w:rsid w:val="00F41D72"/>
    <w:rsid w:val="00F466F2"/>
    <w:rsid w:val="00F50FA1"/>
    <w:rsid w:val="00F71A88"/>
    <w:rsid w:val="00F76B05"/>
    <w:rsid w:val="00F91B56"/>
    <w:rsid w:val="00F966B7"/>
    <w:rsid w:val="00F97255"/>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BA86936-8CB2-49D1-9B13-57F1F12D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1609</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2018-10-19T18:48:00Z</cp:lastPrinted>
  <dcterms:created xsi:type="dcterms:W3CDTF">2019-02-27T22:59:00Z</dcterms:created>
  <dcterms:modified xsi:type="dcterms:W3CDTF">2019-02-27T22:59:00Z</dcterms:modified>
</cp:coreProperties>
</file>